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8A913" w14:textId="08FCA7CA" w:rsidR="00FD4BED" w:rsidRPr="00421ACF" w:rsidRDefault="00FD4BED" w:rsidP="00FD4BED">
      <w:pPr>
        <w:rPr>
          <w:rFonts w:cstheme="minorHAnsi"/>
          <w:b/>
          <w:bCs/>
          <w:iCs/>
        </w:rPr>
      </w:pPr>
      <w:r w:rsidRPr="00421ACF">
        <w:rPr>
          <w:rFonts w:cstheme="minorHAnsi"/>
          <w:b/>
          <w:bCs/>
          <w:iCs/>
        </w:rPr>
        <w:t xml:space="preserve">Appendix 1 – Goericke Lab and UMCES </w:t>
      </w:r>
      <w:r w:rsidR="000D5592" w:rsidRPr="00421ACF">
        <w:rPr>
          <w:rFonts w:cstheme="minorHAnsi"/>
          <w:b/>
          <w:bCs/>
          <w:iCs/>
        </w:rPr>
        <w:t>HPLC intercomparison</w:t>
      </w:r>
      <w:r w:rsidR="00A45F04" w:rsidRPr="00421ACF">
        <w:rPr>
          <w:rFonts w:cstheme="minorHAnsi"/>
          <w:b/>
          <w:bCs/>
          <w:iCs/>
        </w:rPr>
        <w:t xml:space="preserve"> results</w:t>
      </w:r>
    </w:p>
    <w:p w14:paraId="4BFF2A37" w14:textId="45398C46" w:rsidR="00954001" w:rsidRPr="00421ACF" w:rsidRDefault="00FD4BED" w:rsidP="00FD4BED">
      <w:pPr>
        <w:spacing w:after="0" w:line="240" w:lineRule="auto"/>
        <w:rPr>
          <w:rFonts w:eastAsia="Times New Roman" w:cstheme="minorHAnsi"/>
        </w:rPr>
      </w:pPr>
      <w:r w:rsidRPr="00421ACF">
        <w:rPr>
          <w:rFonts w:eastAsia="Times New Roman" w:cstheme="minorHAnsi"/>
        </w:rPr>
        <w:t xml:space="preserve">In 2023, </w:t>
      </w:r>
      <w:r w:rsidR="00D06375" w:rsidRPr="00421ACF">
        <w:rPr>
          <w:rFonts w:eastAsia="Times New Roman" w:cstheme="minorHAnsi"/>
        </w:rPr>
        <w:t>CCE-LTER</w:t>
      </w:r>
      <w:r w:rsidRPr="00421ACF">
        <w:rPr>
          <w:rFonts w:eastAsia="Times New Roman" w:cstheme="minorHAnsi"/>
        </w:rPr>
        <w:t xml:space="preserve"> conducted extensive </w:t>
      </w:r>
      <w:r w:rsidR="000D5592" w:rsidRPr="00421ACF">
        <w:rPr>
          <w:rFonts w:eastAsia="Times New Roman" w:cstheme="minorHAnsi"/>
        </w:rPr>
        <w:t xml:space="preserve">pigment </w:t>
      </w:r>
      <w:r w:rsidRPr="00421ACF">
        <w:rPr>
          <w:rFonts w:eastAsia="Times New Roman" w:cstheme="minorHAnsi"/>
        </w:rPr>
        <w:t>comparisons</w:t>
      </w:r>
      <w:r w:rsidR="00D06375" w:rsidRPr="00421ACF">
        <w:rPr>
          <w:rFonts w:eastAsia="Times New Roman" w:cstheme="minorHAnsi"/>
        </w:rPr>
        <w:t xml:space="preserve"> using </w:t>
      </w:r>
      <w:r w:rsidR="00A45F04" w:rsidRPr="00421ACF">
        <w:rPr>
          <w:rFonts w:eastAsia="Times New Roman" w:cstheme="minorHAnsi"/>
        </w:rPr>
        <w:t>High-Performance</w:t>
      </w:r>
      <w:r w:rsidR="00D06375" w:rsidRPr="00421ACF">
        <w:rPr>
          <w:rFonts w:eastAsia="Times New Roman" w:cstheme="minorHAnsi"/>
        </w:rPr>
        <w:t xml:space="preserve"> Liquid Chromatography (HPLC) pigment analysis.</w:t>
      </w:r>
      <w:r w:rsidR="00FE2E35" w:rsidRPr="00421ACF">
        <w:rPr>
          <w:rFonts w:eastAsia="Times New Roman" w:cstheme="minorHAnsi"/>
        </w:rPr>
        <w:t xml:space="preserve"> </w:t>
      </w:r>
      <w:r w:rsidR="00D06375" w:rsidRPr="00421ACF">
        <w:rPr>
          <w:rFonts w:eastAsia="Times New Roman" w:cstheme="minorHAnsi"/>
        </w:rPr>
        <w:t xml:space="preserve"> </w:t>
      </w:r>
      <w:r w:rsidR="00954001" w:rsidRPr="00421ACF">
        <w:rPr>
          <w:rFonts w:eastAsia="Times New Roman" w:cstheme="minorHAnsi"/>
        </w:rPr>
        <w:t xml:space="preserve">Samples processed in both the Goericke Laboratory at Scripps Institution of Oceanography (UCSD) and the Horn Point Analytical Laboratory (UMCES) were used to investigate the </w:t>
      </w:r>
      <w:r w:rsidR="00885E6B">
        <w:rPr>
          <w:rFonts w:eastAsia="Times New Roman" w:cstheme="minorHAnsi"/>
        </w:rPr>
        <w:t>intercomparability</w:t>
      </w:r>
      <w:r w:rsidR="00954001" w:rsidRPr="00421ACF">
        <w:rPr>
          <w:rFonts w:eastAsia="Times New Roman" w:cstheme="minorHAnsi"/>
        </w:rPr>
        <w:t xml:space="preserve"> </w:t>
      </w:r>
      <w:r w:rsidR="00885E6B">
        <w:rPr>
          <w:rFonts w:eastAsia="Times New Roman" w:cstheme="minorHAnsi"/>
        </w:rPr>
        <w:t>of</w:t>
      </w:r>
      <w:r w:rsidR="00954001" w:rsidRPr="00421ACF">
        <w:rPr>
          <w:rFonts w:eastAsia="Times New Roman" w:cstheme="minorHAnsi"/>
        </w:rPr>
        <w:t xml:space="preserve"> a variety of chlorophyll, xanthophyl</w:t>
      </w:r>
      <w:r w:rsidR="00421ACF" w:rsidRPr="00421ACF">
        <w:rPr>
          <w:rFonts w:eastAsia="Times New Roman" w:cstheme="minorHAnsi"/>
        </w:rPr>
        <w:t>l</w:t>
      </w:r>
      <w:r w:rsidR="00885E6B">
        <w:rPr>
          <w:rFonts w:eastAsia="Times New Roman" w:cstheme="minorHAnsi"/>
        </w:rPr>
        <w:t>,</w:t>
      </w:r>
      <w:r w:rsidR="00421ACF" w:rsidRPr="00421ACF">
        <w:rPr>
          <w:rFonts w:eastAsia="Times New Roman" w:cstheme="minorHAnsi"/>
        </w:rPr>
        <w:t xml:space="preserve"> and carotenoid pigments</w:t>
      </w:r>
      <w:r w:rsidR="00954001" w:rsidRPr="00421ACF">
        <w:rPr>
          <w:rFonts w:eastAsia="Times New Roman" w:cstheme="minorHAnsi"/>
        </w:rPr>
        <w:t>.</w:t>
      </w:r>
      <w:r w:rsidR="00FE2E35" w:rsidRPr="00421ACF">
        <w:rPr>
          <w:rFonts w:eastAsia="Times New Roman" w:cstheme="minorHAnsi"/>
        </w:rPr>
        <w:t xml:space="preserve">  Samples were obtained from</w:t>
      </w:r>
      <w:r w:rsidRPr="00421ACF">
        <w:rPr>
          <w:rFonts w:eastAsia="Times New Roman" w:cstheme="minorHAnsi"/>
        </w:rPr>
        <w:t xml:space="preserve"> the CCE Process Cruise P2107 (July-August 2021)</w:t>
      </w:r>
      <w:r w:rsidR="00FE2E35" w:rsidRPr="00421ACF">
        <w:rPr>
          <w:rFonts w:eastAsia="Times New Roman" w:cstheme="minorHAnsi"/>
        </w:rPr>
        <w:t>, CalCOFI cruise 2014-02</w:t>
      </w:r>
      <w:r w:rsidR="00FE2E35" w:rsidRPr="00421ACF">
        <w:rPr>
          <w:rFonts w:eastAsia="Times New Roman" w:cstheme="minorHAnsi"/>
        </w:rPr>
        <w:t xml:space="preserve"> (</w:t>
      </w:r>
      <w:r w:rsidR="00FE2E35" w:rsidRPr="00421ACF">
        <w:rPr>
          <w:rFonts w:eastAsia="Times New Roman" w:cstheme="minorHAnsi"/>
        </w:rPr>
        <w:t>Feb</w:t>
      </w:r>
      <w:r w:rsidR="00FE2E35" w:rsidRPr="00421ACF">
        <w:rPr>
          <w:rFonts w:eastAsia="Times New Roman" w:cstheme="minorHAnsi"/>
        </w:rPr>
        <w:t xml:space="preserve"> 2014)</w:t>
      </w:r>
      <w:r w:rsidRPr="00421ACF">
        <w:rPr>
          <w:rFonts w:eastAsia="Times New Roman" w:cstheme="minorHAnsi"/>
        </w:rPr>
        <w:t xml:space="preserve"> and CalCO</w:t>
      </w:r>
      <w:r w:rsidR="00FE2E35" w:rsidRPr="00421ACF">
        <w:rPr>
          <w:rFonts w:eastAsia="Times New Roman" w:cstheme="minorHAnsi"/>
        </w:rPr>
        <w:t xml:space="preserve">FI cruise 2014-04 (April 2014). </w:t>
      </w:r>
      <w:r w:rsidR="00421ACF" w:rsidRPr="00421ACF">
        <w:rPr>
          <w:rFonts w:eastAsia="Times New Roman" w:cstheme="minorHAnsi"/>
        </w:rPr>
        <w:t xml:space="preserve"> </w:t>
      </w:r>
      <w:r w:rsidR="00FE2E35" w:rsidRPr="00421ACF">
        <w:rPr>
          <w:rFonts w:eastAsia="Times New Roman" w:cstheme="minorHAnsi"/>
        </w:rPr>
        <w:t xml:space="preserve">Process </w:t>
      </w:r>
      <w:bookmarkStart w:id="0" w:name="_GoBack"/>
      <w:bookmarkEnd w:id="0"/>
      <w:r w:rsidR="00FE2E35" w:rsidRPr="00421ACF">
        <w:rPr>
          <w:rFonts w:eastAsia="Times New Roman" w:cstheme="minorHAnsi"/>
        </w:rPr>
        <w:t xml:space="preserve">Cruise P2107 GFF </w:t>
      </w:r>
      <w:r w:rsidR="00421ACF" w:rsidRPr="00421ACF">
        <w:rPr>
          <w:rFonts w:eastAsia="Times New Roman" w:cstheme="minorHAnsi"/>
        </w:rPr>
        <w:t xml:space="preserve">HPLC samples </w:t>
      </w:r>
      <w:r w:rsidR="00FE2E35" w:rsidRPr="00421ACF">
        <w:rPr>
          <w:rFonts w:eastAsia="Times New Roman" w:cstheme="minorHAnsi"/>
        </w:rPr>
        <w:t xml:space="preserve">were divided </w:t>
      </w:r>
      <w:r w:rsidR="00885E6B">
        <w:rPr>
          <w:rFonts w:eastAsia="Times New Roman" w:cstheme="minorHAnsi"/>
        </w:rPr>
        <w:t>in</w:t>
      </w:r>
      <w:r w:rsidR="00FE2E35" w:rsidRPr="00421ACF">
        <w:rPr>
          <w:rFonts w:eastAsia="Times New Roman" w:cstheme="minorHAnsi"/>
        </w:rPr>
        <w:t xml:space="preserve"> half and each half was processed </w:t>
      </w:r>
      <w:r w:rsidR="00421ACF" w:rsidRPr="00421ACF">
        <w:rPr>
          <w:rFonts w:eastAsia="Times New Roman" w:cstheme="minorHAnsi"/>
        </w:rPr>
        <w:t xml:space="preserve">using </w:t>
      </w:r>
      <w:r w:rsidR="00885E6B">
        <w:rPr>
          <w:rFonts w:eastAsia="Times New Roman" w:cstheme="minorHAnsi"/>
        </w:rPr>
        <w:t>in-house</w:t>
      </w:r>
      <w:r w:rsidR="00421ACF" w:rsidRPr="00421ACF">
        <w:rPr>
          <w:rFonts w:eastAsia="Times New Roman" w:cstheme="minorHAnsi"/>
        </w:rPr>
        <w:t xml:space="preserve"> methods developed by each lab.  </w:t>
      </w:r>
      <w:r w:rsidR="00FE2E35" w:rsidRPr="00421ACF">
        <w:rPr>
          <w:rFonts w:eastAsia="Times New Roman" w:cstheme="minorHAnsi"/>
        </w:rPr>
        <w:t xml:space="preserve">The CalCOFI HPLC samples were extracted using the Goericke method and </w:t>
      </w:r>
      <w:r w:rsidR="00421ACF" w:rsidRPr="00421ACF">
        <w:rPr>
          <w:rFonts w:eastAsia="Times New Roman" w:cstheme="minorHAnsi"/>
        </w:rPr>
        <w:t>analyzed in both labs.</w:t>
      </w:r>
    </w:p>
    <w:p w14:paraId="1703618A" w14:textId="77777777" w:rsidR="00954001" w:rsidRPr="00421ACF" w:rsidRDefault="00954001" w:rsidP="00FD4BED">
      <w:pPr>
        <w:spacing w:after="0" w:line="240" w:lineRule="auto"/>
        <w:rPr>
          <w:rFonts w:eastAsia="Times New Roman" w:cstheme="minorHAnsi"/>
        </w:rPr>
      </w:pPr>
    </w:p>
    <w:p w14:paraId="77C1B1A3" w14:textId="60A6CC14" w:rsidR="00FD4BED" w:rsidRPr="00421ACF" w:rsidRDefault="00FD4BED" w:rsidP="00FD4BED">
      <w:pPr>
        <w:spacing w:after="0" w:line="240" w:lineRule="auto"/>
        <w:rPr>
          <w:rFonts w:cstheme="minorHAnsi"/>
          <w:iCs/>
        </w:rPr>
      </w:pPr>
      <w:r w:rsidRPr="00421ACF">
        <w:rPr>
          <w:rFonts w:eastAsia="Times New Roman" w:cstheme="minorHAnsi"/>
        </w:rPr>
        <w:t xml:space="preserve">Figure 1 below shows a comparison between total Chlorophyll a measured by each laboratory and measured fluorometrically at sea using the acidification method.  These results show good agreement between </w:t>
      </w:r>
      <w:r w:rsidR="00885E6B">
        <w:rPr>
          <w:rFonts w:eastAsia="Times New Roman" w:cstheme="minorHAnsi"/>
        </w:rPr>
        <w:t xml:space="preserve">the </w:t>
      </w:r>
      <w:r w:rsidRPr="00421ACF">
        <w:rPr>
          <w:rFonts w:eastAsia="Times New Roman" w:cstheme="minorHAnsi"/>
        </w:rPr>
        <w:t xml:space="preserve">results of the two labs for total Chlorophyll </w:t>
      </w:r>
      <w:r w:rsidRPr="00421ACF">
        <w:rPr>
          <w:rFonts w:eastAsia="Times New Roman" w:cstheme="minorHAnsi"/>
          <w:i/>
          <w:iCs/>
        </w:rPr>
        <w:t>a</w:t>
      </w:r>
      <w:r w:rsidRPr="00421ACF">
        <w:rPr>
          <w:rFonts w:eastAsia="Times New Roman" w:cstheme="minorHAnsi"/>
        </w:rPr>
        <w:t xml:space="preserve"> analyses.  Figures 2 – 5 show results for additional pigments.  For each pigment</w:t>
      </w:r>
      <w:r w:rsidR="00885E6B">
        <w:rPr>
          <w:rFonts w:eastAsia="Times New Roman" w:cstheme="minorHAnsi"/>
        </w:rPr>
        <w:t>,</w:t>
      </w:r>
      <w:r w:rsidRPr="00421ACF">
        <w:rPr>
          <w:rFonts w:eastAsia="Times New Roman" w:cstheme="minorHAnsi"/>
        </w:rPr>
        <w:t xml:space="preserve"> we show a pigment-pigment plot on the left to compare absolute concentrations estimated by the two labs.  This plot also includes statistical information, specifically Pearson’s correlation and the average proportional bias.  We note, however, that these statistics can often be misleading due to the differing detection limits (and values reported when pigments are below detection limits) for each laboratory.  On the right in each plot</w:t>
      </w:r>
      <w:r w:rsidR="00885E6B">
        <w:rPr>
          <w:rFonts w:eastAsia="Times New Roman" w:cstheme="minorHAnsi"/>
        </w:rPr>
        <w:t>,</w:t>
      </w:r>
      <w:r w:rsidRPr="00421ACF">
        <w:rPr>
          <w:rFonts w:eastAsia="Times New Roman" w:cstheme="minorHAnsi"/>
        </w:rPr>
        <w:t xml:space="preserve"> we show a plot that compares the ratio of the respective pigment to total Chlorophyll a, as measured in each lab.  Based on these results we conclude that results for the following pigments are reasonably comparable between labs: Chl a, Divinyl Chl a, Chl b, Chl c (although Chl c values are slightly high at UMCES relative to Goericke), fucoxanthin, hexanoyloxyfucoxanthin, alloxanthin.  For diadinoxanthin, peridinin, zeaxanthin, and butanoyloxyfucoxanthin the results of the comparison showed some distinct sample-to-sample differences between labs, but no distinct biases.  Neoxanthin and prasinoxanthin exhibited distinct differences between labs for samples run at both institutions, with both typically having higher values at UMCES (if above the detection limit).  We also compared the histograms for all mixed-layer (15 m) samples run from each lab (Figure 6).  These are </w:t>
      </w:r>
      <w:r w:rsidRPr="00421ACF">
        <w:rPr>
          <w:rFonts w:eastAsia="Times New Roman" w:cstheme="minorHAnsi"/>
          <w:i/>
          <w:iCs/>
        </w:rPr>
        <w:t>not</w:t>
      </w:r>
      <w:r w:rsidRPr="00421ACF">
        <w:rPr>
          <w:rFonts w:eastAsia="Times New Roman" w:cstheme="minorHAnsi"/>
        </w:rPr>
        <w:t xml:space="preserve"> paired samples, so mismatches could indicate differences between processing in each lab or actual changes in the </w:t>
      </w:r>
      <w:r w:rsidR="00885E6B">
        <w:rPr>
          <w:rFonts w:eastAsia="Times New Roman" w:cstheme="minorHAnsi"/>
        </w:rPr>
        <w:t>timeseries</w:t>
      </w:r>
      <w:r w:rsidRPr="00421ACF">
        <w:rPr>
          <w:rFonts w:eastAsia="Times New Roman" w:cstheme="minorHAnsi"/>
        </w:rPr>
        <w:t xml:space="preserve"> (Goericke Lab samples are mostly pre-2014; UMCES samples are mostly post-2014).   This analysis suggested </w:t>
      </w:r>
      <w:r w:rsidRPr="00421ACF">
        <w:rPr>
          <w:rFonts w:eastAsia="Times New Roman" w:cstheme="minorHAnsi"/>
          <w:i/>
          <w:iCs/>
        </w:rPr>
        <w:t xml:space="preserve">potential </w:t>
      </w:r>
      <w:r w:rsidRPr="00421ACF">
        <w:rPr>
          <w:rFonts w:eastAsia="Times New Roman" w:cstheme="minorHAnsi"/>
        </w:rPr>
        <w:t xml:space="preserve">issues with hexanoyloxyfucoxanthin and butanoyloxyfucoxanthin.  All of these plots can be generated from data contained in this dataset.  We recommend that investigators who use this data for assessing long-term changes carefully investigate the sensitivity of their results to the change in </w:t>
      </w:r>
      <w:r w:rsidR="00885E6B">
        <w:rPr>
          <w:rFonts w:eastAsia="Times New Roman" w:cstheme="minorHAnsi"/>
        </w:rPr>
        <w:t xml:space="preserve">the </w:t>
      </w:r>
      <w:r w:rsidRPr="00421ACF">
        <w:rPr>
          <w:rFonts w:eastAsia="Times New Roman" w:cstheme="minorHAnsi"/>
        </w:rPr>
        <w:t xml:space="preserve">laboratory of analysis.  </w:t>
      </w:r>
    </w:p>
    <w:p w14:paraId="5CC8B77E" w14:textId="77777777" w:rsidR="00FD4BED" w:rsidRPr="00FD4BED" w:rsidRDefault="00FD4BED" w:rsidP="00FD4BED">
      <w:pPr>
        <w:rPr>
          <w:rFonts w:ascii="Times New Roman" w:hAnsi="Times New Roman" w:cs="Times New Roman"/>
          <w:iCs/>
        </w:rPr>
      </w:pPr>
    </w:p>
    <w:p w14:paraId="1B345197" w14:textId="77777777" w:rsidR="00FD4BED" w:rsidRPr="00FD4BED" w:rsidRDefault="00FD4BED" w:rsidP="00FD4BED">
      <w:pPr>
        <w:rPr>
          <w:rFonts w:ascii="Times New Roman" w:hAnsi="Times New Roman" w:cs="Times New Roman"/>
          <w:iCs/>
        </w:rPr>
      </w:pPr>
      <w:r w:rsidRPr="00FD4BED">
        <w:rPr>
          <w:rFonts w:ascii="Times New Roman" w:hAnsi="Times New Roman" w:cs="Times New Roman"/>
          <w:iCs/>
          <w:noProof/>
        </w:rPr>
        <w:drawing>
          <wp:inline distT="0" distB="0" distL="0" distR="0" wp14:anchorId="3C961153" wp14:editId="64237F75">
            <wp:extent cx="5751588" cy="2179324"/>
            <wp:effectExtent l="0" t="0" r="1905" b="0"/>
            <wp:docPr id="1383132281" name="Picture 138313228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32281" name="Picture 1" descr="A diagram of a graph&#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51588" cy="2179324"/>
                    </a:xfrm>
                    <a:prstGeom prst="rect">
                      <a:avLst/>
                    </a:prstGeom>
                  </pic:spPr>
                </pic:pic>
              </a:graphicData>
            </a:graphic>
          </wp:inline>
        </w:drawing>
      </w:r>
    </w:p>
    <w:p w14:paraId="412AC826" w14:textId="2B051523" w:rsidR="00FD4BED" w:rsidRPr="00FD4BED" w:rsidRDefault="00FD4BED" w:rsidP="00FD4BED">
      <w:pPr>
        <w:rPr>
          <w:rFonts w:ascii="Times New Roman" w:hAnsi="Times New Roman" w:cs="Times New Roman"/>
          <w:iCs/>
        </w:rPr>
      </w:pPr>
      <w:r w:rsidRPr="00FD4BED">
        <w:rPr>
          <w:rFonts w:ascii="Times New Roman" w:hAnsi="Times New Roman" w:cs="Times New Roman"/>
          <w:iCs/>
        </w:rPr>
        <w:lastRenderedPageBreak/>
        <w:t xml:space="preserve">Figure 1 – Total Chlorophyll </w:t>
      </w:r>
      <w:r w:rsidRPr="00FD4BED">
        <w:rPr>
          <w:rFonts w:ascii="Times New Roman" w:hAnsi="Times New Roman" w:cs="Times New Roman"/>
          <w:i/>
        </w:rPr>
        <w:t>a</w:t>
      </w:r>
      <w:r w:rsidRPr="00FD4BED">
        <w:rPr>
          <w:rFonts w:ascii="Times New Roman" w:hAnsi="Times New Roman" w:cs="Times New Roman"/>
          <w:iCs/>
        </w:rPr>
        <w:t xml:space="preserve"> (TChl</w:t>
      </w:r>
      <w:r w:rsidRPr="00FD4BED">
        <w:rPr>
          <w:rFonts w:ascii="Times New Roman" w:hAnsi="Times New Roman" w:cs="Times New Roman"/>
          <w:i/>
        </w:rPr>
        <w:t>a</w:t>
      </w:r>
      <w:r w:rsidRPr="00FD4BED">
        <w:rPr>
          <w:rFonts w:ascii="Times New Roman" w:hAnsi="Times New Roman" w:cs="Times New Roman"/>
          <w:iCs/>
        </w:rPr>
        <w:t>) comparisons.  Panel a shows the comparison between samples run at Horn Point Laboratory (UMCES) and the Goericke Lab (UCSD).  Blue samples are from CCE Process Cruise P2107.  Blue Samples</w:t>
      </w:r>
      <w:r w:rsidR="00421ACF">
        <w:rPr>
          <w:rFonts w:ascii="Times New Roman" w:hAnsi="Times New Roman" w:cs="Times New Roman"/>
          <w:iCs/>
        </w:rPr>
        <w:t xml:space="preserve"> are from CalCOFI cruises 2014-02 and 2014-04</w:t>
      </w:r>
      <w:r w:rsidRPr="00FD4BED">
        <w:rPr>
          <w:rFonts w:ascii="Times New Roman" w:hAnsi="Times New Roman" w:cs="Times New Roman"/>
          <w:iCs/>
        </w:rPr>
        <w:t>.  Panels b and c show comparisons of the HPLC-derived TChl</w:t>
      </w:r>
      <w:r w:rsidRPr="00FD4BED">
        <w:rPr>
          <w:rFonts w:ascii="Times New Roman" w:hAnsi="Times New Roman" w:cs="Times New Roman"/>
          <w:i/>
        </w:rPr>
        <w:t>a</w:t>
      </w:r>
      <w:r w:rsidRPr="00FD4BED">
        <w:rPr>
          <w:rFonts w:ascii="Times New Roman" w:hAnsi="Times New Roman" w:cs="Times New Roman"/>
          <w:iCs/>
        </w:rPr>
        <w:t xml:space="preserve"> from the Goericke and UMCES labs (respectively) to TChla measured by a fluorometer at sea using the acidification method.  </w:t>
      </w:r>
      <w:r>
        <w:rPr>
          <w:iCs/>
        </w:rPr>
        <w:br w:type="page"/>
      </w:r>
    </w:p>
    <w:p w14:paraId="214D3FC9" w14:textId="77777777" w:rsidR="00FD4BED" w:rsidRDefault="00FD4BED" w:rsidP="00421ACF">
      <w:pPr>
        <w:jc w:val="center"/>
        <w:rPr>
          <w:iCs/>
        </w:rPr>
      </w:pPr>
      <w:r>
        <w:rPr>
          <w:iCs/>
          <w:noProof/>
        </w:rPr>
        <w:lastRenderedPageBreak/>
        <w:drawing>
          <wp:inline distT="0" distB="0" distL="0" distR="0" wp14:anchorId="2DF2B182" wp14:editId="5290A343">
            <wp:extent cx="3981450" cy="6934200"/>
            <wp:effectExtent l="0" t="0" r="0" b="0"/>
            <wp:docPr id="593950786" name="Picture 59395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81450" cy="6934200"/>
                    </a:xfrm>
                    <a:prstGeom prst="rect">
                      <a:avLst/>
                    </a:prstGeom>
                    <a:noFill/>
                    <a:ln>
                      <a:noFill/>
                    </a:ln>
                  </pic:spPr>
                </pic:pic>
              </a:graphicData>
            </a:graphic>
          </wp:inline>
        </w:drawing>
      </w:r>
    </w:p>
    <w:p w14:paraId="2B94BDAA" w14:textId="77777777" w:rsidR="00FD4BED" w:rsidRDefault="00FD4BED" w:rsidP="00FD4BED">
      <w:pPr>
        <w:rPr>
          <w:iCs/>
        </w:rPr>
      </w:pPr>
      <w:r>
        <w:rPr>
          <w:iCs/>
        </w:rPr>
        <w:t>Fig. 2 – Comparisons between pigments measured in the Goericke and UMCES labs.  Panels on the left are pigment-pigment comparisons.  Pearson’s correlations and average proportional biomass are printed on each panel.  Panels on the right show ratios of pigments to TChl</w:t>
      </w:r>
      <w:r w:rsidRPr="00C05E7D">
        <w:rPr>
          <w:i/>
        </w:rPr>
        <w:t>a</w:t>
      </w:r>
      <w:r>
        <w:rPr>
          <w:iCs/>
        </w:rPr>
        <w:t>.  From top to bottom pigments are divinyl chlorophyll a, total chlorophyll b, total chlorophyll c, and carotenes.</w:t>
      </w:r>
    </w:p>
    <w:p w14:paraId="043CECB7" w14:textId="77777777" w:rsidR="00FD4BED" w:rsidRDefault="00FD4BED" w:rsidP="00FD4BED">
      <w:pPr>
        <w:rPr>
          <w:iCs/>
        </w:rPr>
      </w:pPr>
      <w:r>
        <w:rPr>
          <w:iCs/>
        </w:rPr>
        <w:br w:type="page"/>
      </w:r>
    </w:p>
    <w:p w14:paraId="3051E6AC" w14:textId="77777777" w:rsidR="00FD4BED" w:rsidRPr="00C45377" w:rsidRDefault="00FD4BED" w:rsidP="00421ACF">
      <w:pPr>
        <w:jc w:val="center"/>
        <w:rPr>
          <w:iCs/>
        </w:rPr>
      </w:pPr>
      <w:r>
        <w:rPr>
          <w:iCs/>
          <w:noProof/>
        </w:rPr>
        <w:lastRenderedPageBreak/>
        <w:drawing>
          <wp:inline distT="0" distB="0" distL="0" distR="0" wp14:anchorId="11D435C8" wp14:editId="151FF77A">
            <wp:extent cx="3981450" cy="7096125"/>
            <wp:effectExtent l="0" t="0" r="0" b="9525"/>
            <wp:docPr id="496522587" name="Picture 49652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81450" cy="7096125"/>
                    </a:xfrm>
                    <a:prstGeom prst="rect">
                      <a:avLst/>
                    </a:prstGeom>
                    <a:noFill/>
                    <a:ln>
                      <a:noFill/>
                    </a:ln>
                  </pic:spPr>
                </pic:pic>
              </a:graphicData>
            </a:graphic>
          </wp:inline>
        </w:drawing>
      </w:r>
    </w:p>
    <w:p w14:paraId="510B252E" w14:textId="77777777" w:rsidR="00FD4BED" w:rsidRDefault="00FD4BED" w:rsidP="00FD4BED">
      <w:pPr>
        <w:rPr>
          <w:iCs/>
        </w:rPr>
      </w:pPr>
      <w:r>
        <w:rPr>
          <w:iCs/>
        </w:rPr>
        <w:t>Fig. 3 – Comparisons between pigments measured in the Goericke and UMCES labs.  Panels on the left are pigment-pigment comparisons.  Pearson’s correlations and average proportional biomass are printed on each panel.  Panels on the right show ratios of pigments to TChl</w:t>
      </w:r>
      <w:r w:rsidRPr="005E09DB">
        <w:rPr>
          <w:i/>
        </w:rPr>
        <w:t>a</w:t>
      </w:r>
      <w:r>
        <w:rPr>
          <w:iCs/>
        </w:rPr>
        <w:t xml:space="preserve">.  From top to bottom pigments are butanoyloxyfucoxanthin, hexanoyloxyfucoxanthin, alloxanthin, and diadinoxanthin.  </w:t>
      </w:r>
    </w:p>
    <w:p w14:paraId="339E479A" w14:textId="77777777" w:rsidR="00FD4BED" w:rsidRDefault="00FD4BED" w:rsidP="00421ACF">
      <w:pPr>
        <w:jc w:val="center"/>
        <w:rPr>
          <w:iCs/>
        </w:rPr>
      </w:pPr>
      <w:r>
        <w:rPr>
          <w:iCs/>
          <w:noProof/>
        </w:rPr>
        <w:lastRenderedPageBreak/>
        <w:drawing>
          <wp:inline distT="0" distB="0" distL="0" distR="0" wp14:anchorId="0665B12E" wp14:editId="064AEB7C">
            <wp:extent cx="3981450" cy="7038975"/>
            <wp:effectExtent l="0" t="0" r="0" b="9525"/>
            <wp:docPr id="879947145" name="Picture 87994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1450" cy="7038975"/>
                    </a:xfrm>
                    <a:prstGeom prst="rect">
                      <a:avLst/>
                    </a:prstGeom>
                    <a:noFill/>
                    <a:ln>
                      <a:noFill/>
                    </a:ln>
                  </pic:spPr>
                </pic:pic>
              </a:graphicData>
            </a:graphic>
          </wp:inline>
        </w:drawing>
      </w:r>
    </w:p>
    <w:p w14:paraId="5A2DBC61" w14:textId="77777777" w:rsidR="00FD4BED" w:rsidRDefault="00FD4BED" w:rsidP="00FD4BED">
      <w:pPr>
        <w:rPr>
          <w:iCs/>
        </w:rPr>
      </w:pPr>
      <w:r>
        <w:rPr>
          <w:iCs/>
        </w:rPr>
        <w:t>Fig. 4 – Comparisons between pigments measured in the Goericke and UMCES labs.  Panels on the left are pigment-pigment comparisons.  Pearson’s correlations and average proportional biomass are printed on each panel.  Panels on the right show ratios of pigments to TChl</w:t>
      </w:r>
      <w:r w:rsidRPr="005E09DB">
        <w:rPr>
          <w:i/>
        </w:rPr>
        <w:t>a</w:t>
      </w:r>
      <w:r>
        <w:rPr>
          <w:iCs/>
        </w:rPr>
        <w:t xml:space="preserve">.  From top to bottom pigments are diatoxanthin, fucoxanthin, peridinin, and zeaxanthin.  </w:t>
      </w:r>
    </w:p>
    <w:p w14:paraId="27A0C27C" w14:textId="77777777" w:rsidR="00FD4BED" w:rsidRDefault="00FD4BED" w:rsidP="00FD4BED">
      <w:pPr>
        <w:rPr>
          <w:iCs/>
        </w:rPr>
      </w:pPr>
      <w:r>
        <w:rPr>
          <w:iCs/>
        </w:rPr>
        <w:br w:type="page"/>
      </w:r>
    </w:p>
    <w:p w14:paraId="5D51E271" w14:textId="77777777" w:rsidR="00FD4BED" w:rsidRDefault="00FD4BED" w:rsidP="00FD4BED">
      <w:pPr>
        <w:jc w:val="center"/>
        <w:rPr>
          <w:iCs/>
        </w:rPr>
      </w:pPr>
      <w:r>
        <w:rPr>
          <w:iCs/>
          <w:noProof/>
        </w:rPr>
        <w:lastRenderedPageBreak/>
        <w:drawing>
          <wp:inline distT="0" distB="0" distL="0" distR="0" wp14:anchorId="0338A940" wp14:editId="2FC1AE61">
            <wp:extent cx="3952875" cy="4171950"/>
            <wp:effectExtent l="0" t="0" r="9525" b="0"/>
            <wp:docPr id="4614763" name="Picture 461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875" cy="4171950"/>
                    </a:xfrm>
                    <a:prstGeom prst="rect">
                      <a:avLst/>
                    </a:prstGeom>
                    <a:noFill/>
                    <a:ln>
                      <a:noFill/>
                    </a:ln>
                  </pic:spPr>
                </pic:pic>
              </a:graphicData>
            </a:graphic>
          </wp:inline>
        </w:drawing>
      </w:r>
    </w:p>
    <w:p w14:paraId="2968E943" w14:textId="77777777" w:rsidR="00FD4BED" w:rsidRDefault="00FD4BED" w:rsidP="00FD4BED">
      <w:pPr>
        <w:rPr>
          <w:iCs/>
        </w:rPr>
      </w:pPr>
      <w:r>
        <w:rPr>
          <w:iCs/>
        </w:rPr>
        <w:t>Fig. 5 – Comparisons between pigments measured in the Goericke and UMCES labs.  Panels on the left are pigment-pigment comparisons.  Pearson’s correlations and average proportional biomass are printed on each panel.  Panels on the right show ratios of pigments to TChl</w:t>
      </w:r>
      <w:r w:rsidRPr="005E09DB">
        <w:rPr>
          <w:i/>
        </w:rPr>
        <w:t>a</w:t>
      </w:r>
      <w:r>
        <w:rPr>
          <w:iCs/>
        </w:rPr>
        <w:t xml:space="preserve">.  From top to bottom pigments are neoxanthin and prasinoxanthin.  </w:t>
      </w:r>
    </w:p>
    <w:p w14:paraId="38C96B82" w14:textId="77777777" w:rsidR="00FD4BED" w:rsidRDefault="00FD4BED" w:rsidP="00FD4BED">
      <w:pPr>
        <w:rPr>
          <w:iCs/>
        </w:rPr>
      </w:pPr>
    </w:p>
    <w:p w14:paraId="222E2E99" w14:textId="77777777" w:rsidR="00FD4BED" w:rsidRDefault="00FD4BED" w:rsidP="00FD4BED">
      <w:pPr>
        <w:rPr>
          <w:iCs/>
        </w:rPr>
      </w:pPr>
      <w:r>
        <w:rPr>
          <w:iCs/>
        </w:rPr>
        <w:br w:type="page"/>
      </w:r>
    </w:p>
    <w:p w14:paraId="60BE6B49" w14:textId="77777777" w:rsidR="00FD4BED" w:rsidRDefault="00FD4BED" w:rsidP="00FD4BED">
      <w:pPr>
        <w:jc w:val="center"/>
        <w:rPr>
          <w:iCs/>
        </w:rPr>
      </w:pPr>
      <w:r>
        <w:rPr>
          <w:iCs/>
          <w:noProof/>
        </w:rPr>
        <w:lastRenderedPageBreak/>
        <w:drawing>
          <wp:inline distT="0" distB="0" distL="0" distR="0" wp14:anchorId="344B8693" wp14:editId="50767CE2">
            <wp:extent cx="3076575" cy="7600950"/>
            <wp:effectExtent l="0" t="0" r="9525" b="0"/>
            <wp:docPr id="1228368792" name="Picture 122836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6575" cy="7600950"/>
                    </a:xfrm>
                    <a:prstGeom prst="rect">
                      <a:avLst/>
                    </a:prstGeom>
                    <a:noFill/>
                    <a:ln>
                      <a:noFill/>
                    </a:ln>
                  </pic:spPr>
                </pic:pic>
              </a:graphicData>
            </a:graphic>
          </wp:inline>
        </w:drawing>
      </w:r>
    </w:p>
    <w:p w14:paraId="0426C935" w14:textId="77777777" w:rsidR="00FD4BED" w:rsidRPr="0019146D" w:rsidRDefault="00FD4BED" w:rsidP="00FD4BED">
      <w:pPr>
        <w:rPr>
          <w:iCs/>
        </w:rPr>
      </w:pPr>
      <w:r>
        <w:rPr>
          <w:iCs/>
        </w:rPr>
        <w:t xml:space="preserve">Fig. 6 – Histograms comparing the mixed layer (&lt;15 m) pigment concentrations measured at UMCES (red) or in the Goericke lab (blue).  Note that these are </w:t>
      </w:r>
      <w:r w:rsidRPr="00C05E7D">
        <w:rPr>
          <w:b/>
          <w:bCs/>
          <w:i/>
        </w:rPr>
        <w:t>not</w:t>
      </w:r>
      <w:r w:rsidRPr="00C05E7D">
        <w:rPr>
          <w:b/>
          <w:bCs/>
          <w:iCs/>
        </w:rPr>
        <w:t xml:space="preserve"> </w:t>
      </w:r>
      <w:r>
        <w:rPr>
          <w:iCs/>
        </w:rPr>
        <w:t xml:space="preserve">based on paired samples. </w:t>
      </w:r>
    </w:p>
    <w:p w14:paraId="5F01A921" w14:textId="77777777" w:rsidR="00FD4BED" w:rsidRPr="00D822AD" w:rsidRDefault="00FD4BED" w:rsidP="00FD4BED">
      <w:pPr>
        <w:pStyle w:val="EndNoteBibliography"/>
        <w:ind w:left="720" w:hanging="720"/>
      </w:pPr>
      <w:r>
        <w:rPr>
          <w:iCs/>
        </w:rPr>
        <w:lastRenderedPageBreak/>
        <w:fldChar w:fldCharType="begin"/>
      </w:r>
      <w:r>
        <w:rPr>
          <w:iCs/>
        </w:rPr>
        <w:instrText xml:space="preserve"> ADDIN EN.REFLIST </w:instrText>
      </w:r>
      <w:r>
        <w:rPr>
          <w:iCs/>
        </w:rPr>
        <w:fldChar w:fldCharType="separate"/>
      </w:r>
      <w:r w:rsidRPr="00D822AD">
        <w:t xml:space="preserve">Peloquin, J. and others 2013. The MAREDAT global database of </w:t>
      </w:r>
      <w:r>
        <w:t>high-performance</w:t>
      </w:r>
      <w:r w:rsidRPr="00D822AD">
        <w:t xml:space="preserve"> liquid chromatography marine pigment measurements. Earth Syst. Sci. Data </w:t>
      </w:r>
      <w:r w:rsidRPr="00D822AD">
        <w:rPr>
          <w:b/>
        </w:rPr>
        <w:t xml:space="preserve">5: </w:t>
      </w:r>
      <w:r w:rsidRPr="00D822AD">
        <w:t>109-123.</w:t>
      </w:r>
    </w:p>
    <w:p w14:paraId="5DC23DA3" w14:textId="77777777" w:rsidR="00FD4BED" w:rsidRPr="00C05E7D" w:rsidRDefault="00FD4BED" w:rsidP="00FD4BED">
      <w:pPr>
        <w:rPr>
          <w:iCs/>
        </w:rPr>
      </w:pPr>
      <w:r>
        <w:rPr>
          <w:iCs/>
        </w:rPr>
        <w:fldChar w:fldCharType="end"/>
      </w:r>
    </w:p>
    <w:p w14:paraId="7FC39092" w14:textId="77777777" w:rsidR="00A93801" w:rsidRDefault="00A93801"/>
    <w:sectPr w:rsidR="00A938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54F"/>
    <w:rsid w:val="00016BFA"/>
    <w:rsid w:val="000D5592"/>
    <w:rsid w:val="004013E2"/>
    <w:rsid w:val="00421ACF"/>
    <w:rsid w:val="005E45B0"/>
    <w:rsid w:val="007F7FF6"/>
    <w:rsid w:val="00885E6B"/>
    <w:rsid w:val="0092454F"/>
    <w:rsid w:val="00954001"/>
    <w:rsid w:val="00A45F04"/>
    <w:rsid w:val="00A93801"/>
    <w:rsid w:val="00D06375"/>
    <w:rsid w:val="00E44981"/>
    <w:rsid w:val="00FD4BED"/>
    <w:rsid w:val="00FE2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679A5"/>
  <w15:chartTrackingRefBased/>
  <w15:docId w15:val="{DF059486-E684-4913-ABCB-9C22EDE3F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4B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D4BED"/>
    <w:rPr>
      <w:sz w:val="16"/>
      <w:szCs w:val="16"/>
    </w:rPr>
  </w:style>
  <w:style w:type="paragraph" w:styleId="CommentText">
    <w:name w:val="annotation text"/>
    <w:basedOn w:val="Normal"/>
    <w:link w:val="CommentTextChar"/>
    <w:uiPriority w:val="99"/>
    <w:unhideWhenUsed/>
    <w:rsid w:val="00FD4BED"/>
    <w:pPr>
      <w:spacing w:line="240" w:lineRule="auto"/>
    </w:pPr>
    <w:rPr>
      <w:sz w:val="20"/>
      <w:szCs w:val="20"/>
    </w:rPr>
  </w:style>
  <w:style w:type="character" w:customStyle="1" w:styleId="CommentTextChar">
    <w:name w:val="Comment Text Char"/>
    <w:basedOn w:val="DefaultParagraphFont"/>
    <w:link w:val="CommentText"/>
    <w:uiPriority w:val="99"/>
    <w:rsid w:val="00FD4BED"/>
    <w:rPr>
      <w:sz w:val="20"/>
      <w:szCs w:val="20"/>
    </w:rPr>
  </w:style>
  <w:style w:type="paragraph" w:customStyle="1" w:styleId="EndNoteBibliography">
    <w:name w:val="EndNote Bibliography"/>
    <w:basedOn w:val="Normal"/>
    <w:link w:val="EndNoteBibliographyChar"/>
    <w:rsid w:val="00FD4BE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D4BED"/>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1333</TotalTime>
  <Pages>1</Pages>
  <Words>801</Words>
  <Characters>4571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Dovel, Shonna</dc:creator>
  <cp:keywords/>
  <dc:description/>
  <cp:lastModifiedBy>Dovel, Shonna</cp:lastModifiedBy>
  <cp:revision>4</cp:revision>
  <dcterms:created xsi:type="dcterms:W3CDTF">2023-09-27T20:01:00Z</dcterms:created>
  <dcterms:modified xsi:type="dcterms:W3CDTF">2023-09-29T21:36:00Z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91ca1c3055bc78eda5812673967d1fb5a7ef2f8ff3cf3e21485f081f602f9473</vt:lpwstr>
  </property>
</Properties>
</file>